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r w:rsidRPr="00882F18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Пояснение по заполнению формы «Отчет о движении денежных средств (косвенный метод)»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outlineLvl w:val="3"/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</w:pPr>
      <w:proofErr w:type="gramStart"/>
      <w:r w:rsidRPr="00882F18">
        <w:rPr>
          <w:rFonts w:ascii="Helvetica" w:eastAsia="Times New Roman" w:hAnsi="Helvetica" w:cs="Helvetica"/>
          <w:color w:val="0A0A0A"/>
          <w:sz w:val="24"/>
          <w:szCs w:val="24"/>
          <w:lang w:eastAsia="ru-RU"/>
        </w:rPr>
        <w:t>1) Форма «Отчет о движении денежных средств (косвенный метод)» разработана в соответствии с подпунктом 18-1) пункта 5 статьи 20 Закона Республики Казахстан от 28 февраля 2007 года «О бухгалтерском учете и финансовой отчетности»;</w:t>
      </w:r>
      <w:proofErr w:type="gramEnd"/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2) По выбору организации публичного интереса денежные потоки от операционной, инвестиционной и финансовой деятельности по результатам финансового года могут быть представлены в депозитарий финансовой отчетности в электронном формате посредством программного обеспечения с использованием косвенного метода по форме «Отчет о движении денежных средств (косвенный метод)». Подписывается «Отчет о движении денежных средств (косвенный метод)» электронной цифровой подписью организации, выданной национальным удостоверяющим центром. Электронный формат отчета, который представляется в депозитарий финансовой отчетности формируется после утверждения его учредителями и представляется не позднее 31 августа года следующего </w:t>
      </w:r>
      <w:proofErr w:type="gramStart"/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за</w:t>
      </w:r>
      <w:proofErr w:type="gramEnd"/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отчетным. Основной задачей ведения данной формы является осуществление мониторинга за соблюдением бухгалтерского законодательства Республики Казахстан;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3) Форма заполняется следующим образом: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«Наименование показателей»: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I. «Движение денежных средств от операционной деятельности» указывается: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«прибыль (убыток) до налогообложения» 010;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«амортизация и обесценение основных средств и нематериальных активов» 011;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«обесценение </w:t>
      </w:r>
      <w:proofErr w:type="spellStart"/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гудвила</w:t>
      </w:r>
      <w:proofErr w:type="spellEnd"/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» 012;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«обесценение торговой и прочей дебиторской задолженности» 013;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«списание стоимости активов (или выбывающей группы), предназначенных для продажи, до справедливой стоимости за вычетом затрат на продажу» 014;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«убыток (прибыль) от выбытия основных средств» 015;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«убыток (прибыль) от инвестиционного имущества» 016;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«убыток (прибыль) от досрочного погашения займов» 017;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«убыток (прибыль) от прочих финансовых активов, отражаемых по справедливой стоимости с корректировкой через отчет о прибылях и убытках» 018;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«расходы (доходы) по финансированию» 019;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«вознаграждения работникам» 020;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«расходы по вознаграждениям долевыми инструментами» 021;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«доход (расход) по отложенным налогам» 022;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«нереализованная положительная (отрицательная) курсовая разница» 023;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«доля организации в прибыли ассоциированных организаций и совместной деятельности, учитываемых по методу долевого участия» 024;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не денежные операционные корректировки общего совокупного дохода (убытка)» 025;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«Итого корректировка общего совокупного дохода (убытка), всего» 030 равно: +/- строк с 011 по 025;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«изменения в запасах» 031;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«изменения резерва» 032;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«изменения в торговой и прочей дебиторской задолженности» 033;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«изменения в торговой и прочей кредиторской задолженности» 034;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«изменения в задолженности по налогам и другим обязательным платежам в бюджет» 035;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«изменения в прочих краткосрочных обязательствах» 036;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«Итого движение операционных активов и обязательств, всего» 040 равно: +/- строк с 031 по 036;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«уплаченные вознаграждения» 041;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вознаграждения» 042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«уплаченный подоходный налог» 043;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«Чистая сумма денежных средств от операционной деятельности» 050 равно +/- строк 010, 030, 040, 041, 042 и 043.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II. «Движение денежных средств от инвестиционной деятельности» указывается: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«Поступление денежных средств, всего» 060 равно сумме строк с 061 по 072, в том числе: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основных средств» 061;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нематериальных активов» 062;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других долгосрочных активов» 063;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долевых инструментов других организаций (кроме дочерних) и долей участия в совместном предпринимательстве» 064;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«реализация долговых инструментов других организаций» 065;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«возмещение при потере контроля над дочерними организациями» 066;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«изъятие денежных вкладов» 067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«реализация прочих финансовых активов» 068;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«фьючерсные и форвардные контракты, опционы и свопы» 069;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дивиденды» 070;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вознаграждения» 071;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поступления» 072;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«Выбытие денежных средств, всего» 080 равно сумме строк с 081 по 092,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том числе: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основных средств» 081;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нематериальных активов» 082;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других долгосрочных активов» 083;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долевых инструментов других организаций (кроме дочерних) и долей участия в совместном предпринимательстве» 084;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долговых инструментов других организаций» 085;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контроля над дочерними организациями» 086;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«размещение денежных вкладов» 087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«приобретение прочих финансовых активов» 088;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«предоставление займов» 089;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«фьючерсные и форвардные контракты, опционы и свопы» 090;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«инвестиции в ассоциированные и дочерние организации» 091;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выплаты» 092;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«Чистая сумма денежных средств от инвестиционной деятельности» 100 равно разнице строк 060 и 080.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III. «Движение денежных средств от финансовой деятельности» указывается: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«Поступление денежных средств, всего» 110 равно сумме строк с 111 по 114,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lastRenderedPageBreak/>
        <w:t>в том числе: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«эмиссия акций и других финансовых инструментов» 111;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«получение займов» 112;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«полученные вознаграждения» 113;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поступления» 114;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«Выбытие денежных средств, всего» 120 равно сумме строк с 121 по 125,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том числе: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«погашение займов» 121;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«выплата вознаграждения» 122;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«выплата дивидендов» 123;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«выплаты собственникам по акциям организации» 124;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«прочие выбытия» 125;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«Чистая сумма денежных средств от финансовой деятельности» 130 равно разнице строк 110 и 120.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«Влияние обменных курсов валют к тенге» 140 указывается влияние обменных курсов валют к тенге.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строке «Влияние изменения балансовой стоимости денежных средств и их эквивалентов» 150 указывается влияние изменения балансовой стоимости денежных средств и их эквивалентов.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Значение графы «Увеличение +/- уменьшение денежных средств» 160 равно +/- строк 050, 100, 130, 140 и 150.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В графе «Денежные средства и их эквиваленты на начало отчетного периода» 170 </w:t>
      </w:r>
      <w:proofErr w:type="gramStart"/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указывается</w:t>
      </w:r>
      <w:proofErr w:type="gramEnd"/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 xml:space="preserve"> денежные средства и их эквиваленты на начало отчетного периода.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«Денежные средства и их эквиваленты на конец отчетного периода» 180 указывается денежные средства и их эквиваленты на конец отчетного периода.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«Код строки» указывается код строки.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«За отчетный период» указывается сумма в тысячах тенге за отчетный период;</w:t>
      </w:r>
    </w:p>
    <w:p w:rsidR="00882F18" w:rsidRPr="00882F18" w:rsidRDefault="00882F18" w:rsidP="00882F18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A0A0A"/>
          <w:sz w:val="23"/>
          <w:szCs w:val="23"/>
          <w:lang w:eastAsia="ru-RU"/>
        </w:rPr>
      </w:pPr>
      <w:r w:rsidRPr="00882F18">
        <w:rPr>
          <w:rFonts w:ascii="Arial" w:eastAsia="Times New Roman" w:hAnsi="Arial" w:cs="Arial"/>
          <w:color w:val="0A0A0A"/>
          <w:sz w:val="23"/>
          <w:szCs w:val="23"/>
          <w:lang w:eastAsia="ru-RU"/>
        </w:rPr>
        <w:t>в графе «За предыдущий период» указывается сумма в тысячах тенге за предыдущий период.</w:t>
      </w:r>
    </w:p>
    <w:p w:rsidR="00226B50" w:rsidRDefault="00882F18"/>
    <w:sectPr w:rsidR="00226B50" w:rsidSect="006651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82F18"/>
    <w:rsid w:val="00513325"/>
    <w:rsid w:val="00665130"/>
    <w:rsid w:val="00882F18"/>
    <w:rsid w:val="00BA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30"/>
  </w:style>
  <w:style w:type="paragraph" w:styleId="4">
    <w:name w:val="heading 4"/>
    <w:basedOn w:val="a"/>
    <w:link w:val="40"/>
    <w:uiPriority w:val="9"/>
    <w:qFormat/>
    <w:rsid w:val="00882F1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882F1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82F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9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957</Words>
  <Characters>5459</Characters>
  <Application>Microsoft Office Word</Application>
  <DocSecurity>0</DocSecurity>
  <Lines>45</Lines>
  <Paragraphs>12</Paragraphs>
  <ScaleCrop>false</ScaleCrop>
  <Company/>
  <LinksUpToDate>false</LinksUpToDate>
  <CharactersWithSpaces>6404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Almas</dc:creator>
  <cp:keywords/>
  <dc:description/>
  <cp:lastModifiedBy>Almas</cp:lastModifiedBy>
  <cp:revision>2</cp:revision>
  <dcterms:created xsi:type="dcterms:W3CDTF">2020-03-31T07:31:00Z</dcterms:created>
  <dcterms:modified xsi:type="dcterms:W3CDTF">2020-03-31T07:31:00Z</dcterms:modified>
</cp:coreProperties>
</file>